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A80BA">
      <w:pPr>
        <w:tabs>
          <w:tab w:val="left" w:pos="993"/>
        </w:tabs>
        <w:autoSpaceDE w:val="0"/>
        <w:autoSpaceDN w:val="0"/>
        <w:adjustRightInd w:val="0"/>
        <w:snapToGrid w:val="0"/>
        <w:spacing w:after="0" w:line="440" w:lineRule="exact"/>
        <w:rPr>
          <w:rFonts w:hint="default" w:ascii="Times New Roman" w:hAnsi="Times New Roman" w:cs="Times New Roman"/>
          <w:color w:val="000000"/>
          <w:sz w:val="24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  <w:szCs w:val="21"/>
          <w:lang w:eastAsia="zh-CN"/>
        </w:rPr>
        <w:t>证券代码：000966</w:t>
      </w:r>
      <w:r>
        <w:rPr>
          <w:rFonts w:hint="default" w:ascii="Times New Roman" w:hAnsi="Times New Roman" w:cs="Times New Roman"/>
          <w:color w:val="000000"/>
          <w:sz w:val="24"/>
          <w:szCs w:val="21"/>
          <w:lang w:eastAsia="zh-CN"/>
        </w:rPr>
        <w:tab/>
      </w:r>
      <w:r>
        <w:rPr>
          <w:rFonts w:hint="default" w:ascii="Times New Roman" w:hAnsi="Times New Roman" w:eastAsia="宋体" w:cs="Times New Roman"/>
          <w:color w:val="000000"/>
          <w:sz w:val="24"/>
          <w:szCs w:val="21"/>
          <w:lang w:eastAsia="zh-CN"/>
        </w:rPr>
        <w:t xml:space="preserve">     </w:t>
      </w:r>
      <w:r>
        <w:rPr>
          <w:rFonts w:hint="default" w:ascii="Times New Roman" w:hAnsi="Times New Roman" w:eastAsia="宋体" w:cs="Times New Roman"/>
          <w:color w:val="000000"/>
          <w:sz w:val="24"/>
          <w:szCs w:val="21"/>
          <w:lang w:val="en-US" w:eastAsia="zh-CN"/>
        </w:rPr>
        <w:t xml:space="preserve">       </w:t>
      </w:r>
      <w:r>
        <w:rPr>
          <w:rFonts w:hint="default" w:ascii="Times New Roman" w:hAnsi="Times New Roman" w:eastAsia="宋体" w:cs="Times New Roman"/>
          <w:color w:val="000000"/>
          <w:sz w:val="24"/>
          <w:szCs w:val="21"/>
          <w:lang w:eastAsia="zh-CN"/>
        </w:rPr>
        <w:t xml:space="preserve">   </w:t>
      </w:r>
      <w:r>
        <w:rPr>
          <w:rFonts w:hint="default" w:ascii="Times New Roman" w:hAnsi="Times New Roman" w:cs="Times New Roman"/>
          <w:color w:val="000000"/>
          <w:sz w:val="24"/>
          <w:szCs w:val="21"/>
          <w:lang w:eastAsia="zh-CN"/>
        </w:rPr>
        <w:t>证券简称：长源电力</w:t>
      </w:r>
      <w:r>
        <w:rPr>
          <w:rFonts w:hint="default" w:ascii="Times New Roman" w:hAnsi="Times New Roman" w:eastAsia="宋体" w:cs="Times New Roman"/>
          <w:color w:val="000000"/>
          <w:sz w:val="24"/>
          <w:szCs w:val="21"/>
          <w:lang w:eastAsia="zh-CN"/>
        </w:rPr>
        <w:t xml:space="preserve">     </w:t>
      </w:r>
      <w:r>
        <w:rPr>
          <w:rFonts w:hint="default" w:ascii="Times New Roman" w:hAnsi="Times New Roman" w:eastAsia="宋体" w:cs="Times New Roman"/>
          <w:color w:val="000000"/>
          <w:sz w:val="24"/>
          <w:szCs w:val="21"/>
          <w:lang w:val="en-US" w:eastAsia="zh-CN"/>
        </w:rPr>
        <w:t xml:space="preserve">         </w:t>
      </w:r>
      <w:r>
        <w:rPr>
          <w:rFonts w:hint="default" w:ascii="Times New Roman" w:hAnsi="Times New Roman" w:eastAsia="宋体" w:cs="Times New Roman"/>
          <w:color w:val="000000"/>
          <w:sz w:val="24"/>
          <w:szCs w:val="21"/>
          <w:lang w:eastAsia="zh-CN"/>
        </w:rPr>
        <w:t xml:space="preserve">   </w:t>
      </w:r>
      <w:r>
        <w:rPr>
          <w:rFonts w:hint="default" w:ascii="Times New Roman" w:hAnsi="Times New Roman" w:cs="Times New Roman"/>
          <w:color w:val="000000"/>
          <w:sz w:val="24"/>
          <w:szCs w:val="21"/>
          <w:lang w:eastAsia="zh-CN"/>
        </w:rPr>
        <w:t>公告编号：202</w:t>
      </w:r>
      <w:r>
        <w:rPr>
          <w:rFonts w:hint="eastAsia" w:ascii="Times New Roman" w:hAnsi="Times New Roman" w:cs="Times New Roman"/>
          <w:color w:val="000000"/>
          <w:sz w:val="24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  <w:szCs w:val="21"/>
          <w:lang w:val="en-US" w:eastAsia="zh-CN"/>
        </w:rPr>
        <w:t>-0</w:t>
      </w:r>
      <w:r>
        <w:rPr>
          <w:rFonts w:hint="eastAsia" w:ascii="Times New Roman" w:hAnsi="Times New Roman" w:cs="Times New Roman"/>
          <w:color w:val="000000"/>
          <w:sz w:val="24"/>
          <w:szCs w:val="21"/>
          <w:lang w:val="en-US" w:eastAsia="zh-CN"/>
        </w:rPr>
        <w:t>57</w:t>
      </w:r>
    </w:p>
    <w:p w14:paraId="5BA48034">
      <w:pPr>
        <w:autoSpaceDE w:val="0"/>
        <w:autoSpaceDN w:val="0"/>
        <w:spacing w:after="0" w:line="440" w:lineRule="exact"/>
        <w:contextualSpacing/>
        <w:jc w:val="center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</w:p>
    <w:p w14:paraId="2754CE36">
      <w:pPr>
        <w:adjustRightInd w:val="0"/>
        <w:snapToGrid w:val="0"/>
        <w:spacing w:after="0" w:line="44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  <w:t>国家能源集团长源电力股份有限公司</w:t>
      </w:r>
    </w:p>
    <w:p w14:paraId="3CFA9935">
      <w:pPr>
        <w:adjustRightInd w:val="0"/>
        <w:snapToGrid w:val="0"/>
        <w:spacing w:after="0" w:line="44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关于开展2026年碳排放配额交易的公告</w:t>
      </w:r>
    </w:p>
    <w:p w14:paraId="613BC82F">
      <w:pPr>
        <w:adjustRightInd w:val="0"/>
        <w:snapToGrid w:val="0"/>
        <w:spacing w:after="0" w:line="44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</w:p>
    <w:tbl>
      <w:tblPr>
        <w:tblStyle w:val="17"/>
        <w:tblW w:w="86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0"/>
      </w:tblGrid>
      <w:tr w14:paraId="45BDD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610" w:type="dxa"/>
          </w:tcPr>
          <w:p w14:paraId="47FAFF20">
            <w:pPr>
              <w:autoSpaceDE w:val="0"/>
              <w:autoSpaceDN w:val="0"/>
              <w:adjustRightInd w:val="0"/>
              <w:snapToGrid w:val="0"/>
              <w:spacing w:line="380" w:lineRule="exact"/>
              <w:ind w:right="-194" w:rightChars="-88" w:firstLine="480" w:firstLineChars="200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8"/>
                <w:lang w:eastAsia="zh-CN"/>
              </w:rPr>
              <w:t>本公司及董事会全体成员保证信息披露的内容真实、准确、完整，没有虚假记载、误导性陈述或重大遗漏。</w:t>
            </w:r>
          </w:p>
        </w:tc>
      </w:tr>
    </w:tbl>
    <w:p w14:paraId="239DE8A8">
      <w:pPr>
        <w:spacing w:line="380" w:lineRule="exact"/>
        <w:contextualSpacing/>
        <w:rPr>
          <w:rFonts w:hint="default" w:ascii="Times New Roman" w:hAnsi="Times New Roman" w:cs="Times New Roman"/>
          <w:b/>
          <w:sz w:val="24"/>
          <w:lang w:eastAsia="zh-CN"/>
        </w:rPr>
      </w:pPr>
    </w:p>
    <w:p w14:paraId="1D667321">
      <w:pPr>
        <w:widowControl/>
        <w:spacing w:after="0" w:line="400" w:lineRule="exact"/>
        <w:ind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公司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于 202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 xml:space="preserve">年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 xml:space="preserve"> 月 2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 xml:space="preserve"> 日召开第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十一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届董事会第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九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次会议，审议通过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了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 xml:space="preserve">《关于开展2026年碳资产市场交易履约的议案》，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同意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公司组织开展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2026年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碳配额交易履约工作，通过全国碳排放权交易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市场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以下简称交易市场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购买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碳排放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配额约51.12万吨，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预计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所需资金4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500-7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000万元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。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具体购买配额量以全国碳排放权注册登记结算系统发放配额为准，购买单价以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实际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交易时间的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市场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价格为准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。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本次碳排放配额交易的相关情况如下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：</w:t>
      </w:r>
    </w:p>
    <w:p w14:paraId="2D805A26">
      <w:pPr>
        <w:widowControl/>
        <w:spacing w:after="0" w:line="380" w:lineRule="exact"/>
        <w:ind w:firstLine="482" w:firstLineChars="200"/>
        <w:jc w:val="both"/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eastAsia="zh-CN"/>
        </w:rPr>
        <w:fldChar w:fldCharType="begin"/>
      </w: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eastAsia="zh-CN"/>
        </w:rPr>
        <w:instrText xml:space="preserve"> DOCVARIABLE 附注一级 \* MERGEFORMAT </w:instrText>
      </w: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eastAsia="zh-CN"/>
        </w:rPr>
        <w:fldChar w:fldCharType="separate"/>
      </w: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eastAsia="zh-CN"/>
        </w:rPr>
        <w:t>一、</w:t>
      </w: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eastAsia="zh-CN"/>
        </w:rPr>
        <w:fldChar w:fldCharType="end"/>
      </w:r>
      <w:r>
        <w:rPr>
          <w:rFonts w:hint="eastAsia" w:ascii="Times New Roman" w:hAnsi="Times New Roman" w:eastAsia="宋体" w:cs="Times New Roman"/>
          <w:b/>
          <w:bCs/>
          <w:color w:val="000000"/>
          <w:kern w:val="2"/>
          <w:sz w:val="24"/>
          <w:szCs w:val="24"/>
          <w:lang w:val="en-US" w:eastAsia="zh-CN"/>
        </w:rPr>
        <w:t>交易概述</w:t>
      </w:r>
    </w:p>
    <w:p w14:paraId="7F6A9EA0">
      <w:pPr>
        <w:widowControl/>
        <w:spacing w:after="0" w:line="380" w:lineRule="exact"/>
        <w:ind w:firstLine="480" w:firstLineChars="200"/>
        <w:jc w:val="both"/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2026年9月2日，生态环境部发布《全国碳排放权交易市场2025、2026年度发电行业配额总量和分配方案》（以下简称《分配方案》）。公司依据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《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分配方案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》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对公司碳配额盈缺情况进行了测算，在抵扣结存的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碳排放配额后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，公司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所属火电企业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2025年度碳配额履约缺口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约为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51.12万吨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。为确保完成2025年度履约，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有效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控制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公司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经营成本，公司拟通过交易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市场购买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 xml:space="preserve">碳排放配额约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51.12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万吨，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预计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所需资金4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500-7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000万元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交易价格根据全国碳市场碳排放配额价格走势择机处置。</w:t>
      </w:r>
    </w:p>
    <w:p w14:paraId="44FA2615">
      <w:pPr>
        <w:widowControl/>
        <w:spacing w:after="0" w:line="380" w:lineRule="exact"/>
        <w:ind w:firstLine="480" w:firstLineChars="200"/>
        <w:jc w:val="both"/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本次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购买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碳排放配额事项预计不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涉及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关联交易，也不构成《上市公司重大资产重组管理办法》规定的重大资产重组。根据《深圳证券交易所股票上市规则》的有关规定，此项交易需提交公司董事会审议，由于公司最近一个会计年度每股收益的绝对值低于0.05元，本次交易可无需获得公司股东会的批准。本次购买碳排放配额事项在实施过程中如涉及关联交易，公司届时将按照相关规定履行相应的决策和披露程序。</w:t>
      </w:r>
    </w:p>
    <w:p w14:paraId="28167F42">
      <w:pPr>
        <w:widowControl/>
        <w:spacing w:after="0" w:line="380" w:lineRule="exact"/>
        <w:ind w:firstLine="482" w:firstLineChars="200"/>
        <w:jc w:val="both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、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/>
        </w:rPr>
        <w:t>对公司的影响</w:t>
      </w:r>
    </w:p>
    <w:p w14:paraId="708D27FC">
      <w:pPr>
        <w:widowControl/>
        <w:spacing w:after="0" w:line="380" w:lineRule="exact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预计公司2026年共计购买碳排放配额51.12万吨，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全部用于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碳排放配额履约，</w:t>
      </w:r>
      <w:bookmarkStart w:id="0" w:name="_GoBack"/>
      <w:bookmarkEnd w:id="0"/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预计影响公司2026年度净利润约4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500-7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000万元，占公司最近一期经审计归母净利润约68.01%-105.79%。具体购买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金额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以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实际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交易时间的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市场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价格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及购买配额量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为准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。</w:t>
      </w:r>
    </w:p>
    <w:p w14:paraId="4B6BBDC6">
      <w:pPr>
        <w:widowControl/>
        <w:spacing w:after="0" w:line="380" w:lineRule="exact"/>
        <w:ind w:firstLine="482" w:firstLineChars="200"/>
        <w:jc w:val="both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eastAsia="zh-CN"/>
        </w:rPr>
        <w:t>、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/>
        </w:rPr>
        <w:t>其他</w:t>
      </w:r>
    </w:p>
    <w:p w14:paraId="0F7184BB">
      <w:pPr>
        <w:widowControl/>
        <w:spacing w:after="0" w:line="380" w:lineRule="exact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本次交易存在市场环境、国家政策、交易执行等方面的不确定性及其他不可抗力因素，公司将就本次交易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的进展及实际完成情况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履行持续信息披露义务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。</w:t>
      </w:r>
    </w:p>
    <w:p w14:paraId="726C11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firstLine="482" w:firstLineChars="200"/>
        <w:jc w:val="both"/>
        <w:textAlignment w:val="baseline"/>
        <w:outlineLvl w:val="0"/>
        <w:rPr>
          <w:rStyle w:val="37"/>
          <w:rFonts w:hint="default" w:ascii="Times New Roman" w:hAnsi="Times New Roman" w:eastAsia="宋体" w:cs="Times New Roman"/>
          <w:b/>
          <w:i w:val="0"/>
          <w:caps w:val="0"/>
          <w:color w:val="auto"/>
          <w:spacing w:val="0"/>
          <w:w w:val="1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/>
        </w:rPr>
        <w:t>四</w:t>
      </w:r>
      <w:r>
        <w:rPr>
          <w:rStyle w:val="37"/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w w:val="100"/>
          <w:kern w:val="2"/>
          <w:sz w:val="24"/>
          <w:szCs w:val="24"/>
          <w:highlight w:val="none"/>
          <w:lang w:val="en-US" w:eastAsia="zh-CN" w:bidi="ar-SA"/>
        </w:rPr>
        <w:t>、备查文件</w:t>
      </w:r>
    </w:p>
    <w:p w14:paraId="12C64F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firstLine="480" w:firstLineChars="200"/>
        <w:jc w:val="both"/>
        <w:textAlignment w:val="baseline"/>
        <w:outlineLvl w:val="1"/>
        <w:rPr>
          <w:rStyle w:val="37"/>
          <w:rFonts w:hint="eastAsia" w:ascii="Times New Roman" w:hAnsi="Times New Roman" w:cs="Times New Roman" w:eastAsiaTheme="minorEastAsia"/>
          <w:b w:val="0"/>
          <w:i w:val="0"/>
          <w:caps w:val="0"/>
          <w:color w:val="auto"/>
          <w:spacing w:val="0"/>
          <w:w w:val="1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ascii="Times New Roman" w:hAnsi="Times New Roman"/>
          <w:color w:val="000000"/>
          <w:sz w:val="24"/>
          <w:szCs w:val="28"/>
          <w:highlight w:val="none"/>
        </w:rPr>
        <w:t>公司第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十一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届董事会第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val="en-US" w:eastAsia="zh-CN"/>
        </w:rPr>
        <w:t>九</w:t>
      </w:r>
      <w:r>
        <w:rPr>
          <w:rFonts w:ascii="Times New Roman" w:hAnsi="Times New Roman"/>
          <w:color w:val="000000"/>
          <w:sz w:val="24"/>
          <w:szCs w:val="28"/>
          <w:highlight w:val="none"/>
        </w:rPr>
        <w:t>次会议决议</w:t>
      </w:r>
      <w:r>
        <w:rPr>
          <w:rFonts w:hint="eastAsia" w:ascii="Times New Roman" w:hAnsi="Times New Roman"/>
          <w:color w:val="000000"/>
          <w:sz w:val="24"/>
          <w:szCs w:val="28"/>
          <w:highlight w:val="none"/>
          <w:lang w:eastAsia="zh-CN"/>
        </w:rPr>
        <w:t>。</w:t>
      </w:r>
    </w:p>
    <w:p w14:paraId="4FE1A321">
      <w:pPr>
        <w:widowControl/>
        <w:spacing w:after="0" w:line="380" w:lineRule="exact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/>
        </w:rPr>
      </w:pPr>
    </w:p>
    <w:p w14:paraId="60FF6438">
      <w:pPr>
        <w:widowControl/>
        <w:spacing w:after="0" w:line="380" w:lineRule="exact"/>
        <w:ind w:firstLine="480" w:firstLineChars="20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/>
        </w:rPr>
        <w:t>特此公告。</w:t>
      </w:r>
    </w:p>
    <w:p w14:paraId="5F434DE7">
      <w:pPr>
        <w:spacing w:beforeLines="0" w:after="0" w:line="380" w:lineRule="exact"/>
        <w:contextualSpacing/>
        <w:jc w:val="right"/>
        <w:rPr>
          <w:rFonts w:hint="default" w:ascii="Times New Roman" w:hAnsi="Times New Roman" w:cs="Times New Roman"/>
          <w:sz w:val="24"/>
          <w:lang w:eastAsia="zh-CN"/>
        </w:rPr>
      </w:pPr>
    </w:p>
    <w:p w14:paraId="56738155">
      <w:pPr>
        <w:spacing w:beforeLines="0" w:after="0" w:line="380" w:lineRule="exact"/>
        <w:contextualSpacing/>
        <w:jc w:val="right"/>
        <w:rPr>
          <w:rFonts w:hint="default" w:ascii="Times New Roman" w:hAnsi="Times New Roman" w:cs="Times New Roman"/>
          <w:sz w:val="24"/>
          <w:lang w:eastAsia="zh-CN"/>
        </w:rPr>
      </w:pPr>
      <w:r>
        <w:rPr>
          <w:rFonts w:hint="default" w:ascii="Times New Roman" w:hAnsi="Times New Roman" w:cs="Times New Roman"/>
          <w:sz w:val="24"/>
          <w:lang w:eastAsia="zh-CN"/>
        </w:rPr>
        <w:t>国家能源集团长源电力股份有限公司董事会</w:t>
      </w:r>
    </w:p>
    <w:p w14:paraId="65CB6D9D">
      <w:pPr>
        <w:widowControl/>
        <w:spacing w:beforeLines="0" w:after="0" w:line="380" w:lineRule="exact"/>
        <w:ind w:firstLine="5040" w:firstLineChars="2100"/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202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年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月2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eastAsia="zh-CN"/>
        </w:rPr>
        <w:t>日</w:t>
      </w:r>
    </w:p>
    <w:p w14:paraId="230FA2EE">
      <w:pPr>
        <w:rPr>
          <w:rFonts w:hint="default"/>
          <w:lang w:eastAsia="zh-CN"/>
        </w:rPr>
      </w:pPr>
    </w:p>
    <w:p w14:paraId="2002FB59">
      <w:pPr>
        <w:rPr>
          <w:rFonts w:hint="default" w:ascii="Times New Roman" w:hAnsi="Times New Roman" w:cs="Times New Roman"/>
        </w:rPr>
      </w:pPr>
    </w:p>
    <w:sectPr>
      <w:footerReference r:id="rId5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30087316"/>
    </w:sdtPr>
    <w:sdtEndPr>
      <w:rPr>
        <w:rFonts w:ascii="宋体" w:hAnsi="宋体" w:eastAsia="宋体" w:cs="Times New Roman"/>
        <w:sz w:val="21"/>
        <w:szCs w:val="21"/>
      </w:rPr>
    </w:sdtEndPr>
    <w:sdtContent>
      <w:p w14:paraId="152232D6">
        <w:pPr>
          <w:pStyle w:val="14"/>
          <w:jc w:val="center"/>
          <w:rPr>
            <w:rFonts w:ascii="宋体" w:hAnsi="宋体" w:eastAsia="宋体" w:cs="Times New Roman"/>
            <w:sz w:val="21"/>
            <w:szCs w:val="21"/>
          </w:rPr>
        </w:pPr>
        <w:r>
          <w:rPr>
            <w:rFonts w:ascii="宋体" w:hAnsi="宋体" w:eastAsia="宋体" w:cs="Times New Roman"/>
            <w:sz w:val="21"/>
            <w:szCs w:val="21"/>
          </w:rPr>
          <w:fldChar w:fldCharType="begin"/>
        </w:r>
        <w:r>
          <w:rPr>
            <w:rFonts w:ascii="宋体" w:hAnsi="宋体" w:eastAsia="宋体" w:cs="Times New Roman"/>
            <w:sz w:val="21"/>
            <w:szCs w:val="21"/>
          </w:rPr>
          <w:instrText xml:space="preserve">PAGE   \* MERGEFORMAT</w:instrText>
        </w:r>
        <w:r>
          <w:rPr>
            <w:rFonts w:ascii="宋体" w:hAnsi="宋体" w:eastAsia="宋体" w:cs="Times New Roman"/>
            <w:sz w:val="21"/>
            <w:szCs w:val="21"/>
          </w:rPr>
          <w:fldChar w:fldCharType="separate"/>
        </w:r>
        <w:r>
          <w:rPr>
            <w:rFonts w:ascii="宋体" w:hAnsi="宋体" w:eastAsia="宋体" w:cs="Times New Roman"/>
            <w:sz w:val="21"/>
            <w:szCs w:val="21"/>
            <w:lang w:val="zh-CN"/>
          </w:rPr>
          <w:t>2</w:t>
        </w:r>
        <w:r>
          <w:rPr>
            <w:rFonts w:ascii="宋体" w:hAnsi="宋体" w:eastAsia="宋体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19B"/>
    <w:rsid w:val="00010584"/>
    <w:rsid w:val="00022527"/>
    <w:rsid w:val="00022842"/>
    <w:rsid w:val="000376CB"/>
    <w:rsid w:val="000A546B"/>
    <w:rsid w:val="000D0A66"/>
    <w:rsid w:val="000D735B"/>
    <w:rsid w:val="000F1145"/>
    <w:rsid w:val="00151EB7"/>
    <w:rsid w:val="001A7350"/>
    <w:rsid w:val="001B7B3D"/>
    <w:rsid w:val="001F0C4D"/>
    <w:rsid w:val="0022476A"/>
    <w:rsid w:val="00235271"/>
    <w:rsid w:val="002537C4"/>
    <w:rsid w:val="002632FB"/>
    <w:rsid w:val="00284CDF"/>
    <w:rsid w:val="002901FC"/>
    <w:rsid w:val="002B2236"/>
    <w:rsid w:val="002C5487"/>
    <w:rsid w:val="002E4F7C"/>
    <w:rsid w:val="002F0F85"/>
    <w:rsid w:val="00307E20"/>
    <w:rsid w:val="003162CF"/>
    <w:rsid w:val="00352AD3"/>
    <w:rsid w:val="00390C52"/>
    <w:rsid w:val="003E4190"/>
    <w:rsid w:val="003E4A6B"/>
    <w:rsid w:val="0040185E"/>
    <w:rsid w:val="00402357"/>
    <w:rsid w:val="00410820"/>
    <w:rsid w:val="004161A8"/>
    <w:rsid w:val="004B6326"/>
    <w:rsid w:val="004C670C"/>
    <w:rsid w:val="004F3B76"/>
    <w:rsid w:val="004F7864"/>
    <w:rsid w:val="00505BD0"/>
    <w:rsid w:val="005477E1"/>
    <w:rsid w:val="00561A93"/>
    <w:rsid w:val="005D35F8"/>
    <w:rsid w:val="005D3757"/>
    <w:rsid w:val="005D6D13"/>
    <w:rsid w:val="005E048B"/>
    <w:rsid w:val="005F405C"/>
    <w:rsid w:val="005F503C"/>
    <w:rsid w:val="006044DA"/>
    <w:rsid w:val="006102B4"/>
    <w:rsid w:val="0062397F"/>
    <w:rsid w:val="00664F9B"/>
    <w:rsid w:val="006813A4"/>
    <w:rsid w:val="006860C0"/>
    <w:rsid w:val="00691252"/>
    <w:rsid w:val="006A485C"/>
    <w:rsid w:val="006A4FF8"/>
    <w:rsid w:val="006D524C"/>
    <w:rsid w:val="006F468C"/>
    <w:rsid w:val="00704994"/>
    <w:rsid w:val="007049A0"/>
    <w:rsid w:val="00704A6C"/>
    <w:rsid w:val="00704FC5"/>
    <w:rsid w:val="00705B79"/>
    <w:rsid w:val="007247DD"/>
    <w:rsid w:val="007675B5"/>
    <w:rsid w:val="00770987"/>
    <w:rsid w:val="007760FE"/>
    <w:rsid w:val="007824D9"/>
    <w:rsid w:val="0078585A"/>
    <w:rsid w:val="00790B2D"/>
    <w:rsid w:val="007E0596"/>
    <w:rsid w:val="008001F7"/>
    <w:rsid w:val="00815B2E"/>
    <w:rsid w:val="008268D9"/>
    <w:rsid w:val="00833FBE"/>
    <w:rsid w:val="008473BC"/>
    <w:rsid w:val="00850E21"/>
    <w:rsid w:val="0088147A"/>
    <w:rsid w:val="00885399"/>
    <w:rsid w:val="00887E55"/>
    <w:rsid w:val="00895178"/>
    <w:rsid w:val="008C1DF9"/>
    <w:rsid w:val="008E07E3"/>
    <w:rsid w:val="008E63AD"/>
    <w:rsid w:val="008E7014"/>
    <w:rsid w:val="008F1E43"/>
    <w:rsid w:val="008F424E"/>
    <w:rsid w:val="008F5FEB"/>
    <w:rsid w:val="00921A75"/>
    <w:rsid w:val="009277DA"/>
    <w:rsid w:val="00950B20"/>
    <w:rsid w:val="00953D36"/>
    <w:rsid w:val="00982434"/>
    <w:rsid w:val="009918B1"/>
    <w:rsid w:val="009D021C"/>
    <w:rsid w:val="009E3D16"/>
    <w:rsid w:val="009F150A"/>
    <w:rsid w:val="009F26E9"/>
    <w:rsid w:val="009F51AB"/>
    <w:rsid w:val="00A040B6"/>
    <w:rsid w:val="00A260EC"/>
    <w:rsid w:val="00A32176"/>
    <w:rsid w:val="00A45CBE"/>
    <w:rsid w:val="00A50E96"/>
    <w:rsid w:val="00A92B96"/>
    <w:rsid w:val="00B016AE"/>
    <w:rsid w:val="00B27B52"/>
    <w:rsid w:val="00B3502C"/>
    <w:rsid w:val="00B471A8"/>
    <w:rsid w:val="00B61289"/>
    <w:rsid w:val="00B61ECD"/>
    <w:rsid w:val="00B74E2D"/>
    <w:rsid w:val="00B75028"/>
    <w:rsid w:val="00BA51BC"/>
    <w:rsid w:val="00BC0BEC"/>
    <w:rsid w:val="00BC44AC"/>
    <w:rsid w:val="00BD6E24"/>
    <w:rsid w:val="00BE2C4E"/>
    <w:rsid w:val="00C108E8"/>
    <w:rsid w:val="00C400CB"/>
    <w:rsid w:val="00C564E0"/>
    <w:rsid w:val="00C733C1"/>
    <w:rsid w:val="00C77889"/>
    <w:rsid w:val="00C82C8F"/>
    <w:rsid w:val="00C91AA6"/>
    <w:rsid w:val="00CD2BD5"/>
    <w:rsid w:val="00CD7AE6"/>
    <w:rsid w:val="00CE0262"/>
    <w:rsid w:val="00CE0A0D"/>
    <w:rsid w:val="00CF3839"/>
    <w:rsid w:val="00D34585"/>
    <w:rsid w:val="00D53021"/>
    <w:rsid w:val="00DD0727"/>
    <w:rsid w:val="00E122EC"/>
    <w:rsid w:val="00E47526"/>
    <w:rsid w:val="00E61507"/>
    <w:rsid w:val="00E620D2"/>
    <w:rsid w:val="00E64857"/>
    <w:rsid w:val="00E77A6C"/>
    <w:rsid w:val="00E92C1D"/>
    <w:rsid w:val="00EC295D"/>
    <w:rsid w:val="00EC29A8"/>
    <w:rsid w:val="00EE0EEB"/>
    <w:rsid w:val="00F06534"/>
    <w:rsid w:val="00F12711"/>
    <w:rsid w:val="00F17D0B"/>
    <w:rsid w:val="00F3019B"/>
    <w:rsid w:val="00F347E9"/>
    <w:rsid w:val="00F41A71"/>
    <w:rsid w:val="00F42485"/>
    <w:rsid w:val="00F55EE2"/>
    <w:rsid w:val="00F5782A"/>
    <w:rsid w:val="00F76611"/>
    <w:rsid w:val="00FC467E"/>
    <w:rsid w:val="00FE1E09"/>
    <w:rsid w:val="08A60726"/>
    <w:rsid w:val="0A6F0772"/>
    <w:rsid w:val="0A967909"/>
    <w:rsid w:val="0A9D03F6"/>
    <w:rsid w:val="0CC8381A"/>
    <w:rsid w:val="0E0C6DFB"/>
    <w:rsid w:val="0F7846D6"/>
    <w:rsid w:val="10912632"/>
    <w:rsid w:val="11535599"/>
    <w:rsid w:val="12A86CCC"/>
    <w:rsid w:val="13D00972"/>
    <w:rsid w:val="197A5773"/>
    <w:rsid w:val="20F07A5E"/>
    <w:rsid w:val="228727F7"/>
    <w:rsid w:val="228F46A5"/>
    <w:rsid w:val="29055596"/>
    <w:rsid w:val="2AC563B9"/>
    <w:rsid w:val="2BAE5355"/>
    <w:rsid w:val="31A57720"/>
    <w:rsid w:val="337978D0"/>
    <w:rsid w:val="33FD4142"/>
    <w:rsid w:val="35196623"/>
    <w:rsid w:val="361E2979"/>
    <w:rsid w:val="38EF6CD4"/>
    <w:rsid w:val="3D127B62"/>
    <w:rsid w:val="3E915365"/>
    <w:rsid w:val="4036557B"/>
    <w:rsid w:val="412D7255"/>
    <w:rsid w:val="41687867"/>
    <w:rsid w:val="472B4C71"/>
    <w:rsid w:val="47650B90"/>
    <w:rsid w:val="48A205C7"/>
    <w:rsid w:val="4A8E2781"/>
    <w:rsid w:val="4B9068B1"/>
    <w:rsid w:val="52873A8D"/>
    <w:rsid w:val="55F37C2F"/>
    <w:rsid w:val="578819FC"/>
    <w:rsid w:val="5921361B"/>
    <w:rsid w:val="5D893E01"/>
    <w:rsid w:val="5DB41830"/>
    <w:rsid w:val="5DBB6A1A"/>
    <w:rsid w:val="646A564B"/>
    <w:rsid w:val="6C1A4F74"/>
    <w:rsid w:val="6E646C62"/>
    <w:rsid w:val="72137882"/>
    <w:rsid w:val="738F3DC3"/>
    <w:rsid w:val="79D123ED"/>
    <w:rsid w:val="7AA02F46"/>
    <w:rsid w:val="7D88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0" w:semiHidden="0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spacing w:after="160" w:line="278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5">
    <w:name w:val="heading 1"/>
    <w:basedOn w:val="1"/>
    <w:next w:val="1"/>
    <w:link w:val="22"/>
    <w:qFormat/>
    <w:uiPriority w:val="1"/>
    <w:pPr>
      <w:ind w:left="600"/>
      <w:outlineLvl w:val="0"/>
    </w:pPr>
    <w:rPr>
      <w:rFonts w:ascii="宋体" w:hAnsi="宋体" w:eastAsia="宋体"/>
      <w:b/>
      <w:bCs/>
      <w:sz w:val="26"/>
      <w:szCs w:val="26"/>
    </w:rPr>
  </w:style>
  <w:style w:type="paragraph" w:styleId="6">
    <w:name w:val="heading 3"/>
    <w:basedOn w:val="1"/>
    <w:next w:val="1"/>
    <w:qFormat/>
    <w:uiPriority w:val="0"/>
    <w:pPr>
      <w:keepNext/>
      <w:keepLines/>
      <w:snapToGrid w:val="0"/>
      <w:spacing w:line="560" w:lineRule="exact"/>
      <w:ind w:firstLine="200" w:firstLineChars="200"/>
      <w:outlineLvl w:val="2"/>
    </w:pPr>
    <w:rPr>
      <w:b/>
      <w:sz w:val="30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言二级条标题"/>
    <w:basedOn w:val="3"/>
    <w:next w:val="4"/>
    <w:qFormat/>
    <w:uiPriority w:val="99"/>
    <w:pPr>
      <w:tabs>
        <w:tab w:val="left" w:pos="1140"/>
      </w:tabs>
    </w:pPr>
  </w:style>
  <w:style w:type="paragraph" w:customStyle="1" w:styleId="3">
    <w:name w:val="引言一级条标题"/>
    <w:basedOn w:val="1"/>
    <w:next w:val="4"/>
    <w:qFormat/>
    <w:uiPriority w:val="99"/>
    <w:pPr>
      <w:tabs>
        <w:tab w:val="left" w:pos="1140"/>
      </w:tabs>
    </w:pPr>
    <w:rPr>
      <w:rFonts w:eastAsia="黑体"/>
      <w:b/>
      <w:bCs/>
      <w:szCs w:val="21"/>
    </w:rPr>
  </w:style>
  <w:style w:type="paragraph" w:customStyle="1" w:styleId="4">
    <w:name w:val="段"/>
    <w:qFormat/>
    <w:uiPriority w:val="0"/>
    <w:pPr>
      <w:tabs>
        <w:tab w:val="left" w:pos="840"/>
        <w:tab w:val="left" w:pos="982"/>
      </w:tabs>
      <w:autoSpaceDE w:val="0"/>
      <w:autoSpaceDN w:val="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paragraph" w:styleId="7">
    <w:name w:val="index 8"/>
    <w:basedOn w:val="1"/>
    <w:next w:val="1"/>
    <w:qFormat/>
    <w:uiPriority w:val="0"/>
    <w:pPr>
      <w:ind w:left="1400" w:leftChars="1400"/>
    </w:pPr>
  </w:style>
  <w:style w:type="paragraph" w:styleId="8">
    <w:name w:val="Normal Indent"/>
    <w:basedOn w:val="1"/>
    <w:semiHidden/>
    <w:unhideWhenUsed/>
    <w:qFormat/>
    <w:uiPriority w:val="99"/>
    <w:pPr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eastAsia="zh-CN"/>
    </w:rPr>
  </w:style>
  <w:style w:type="paragraph" w:styleId="9">
    <w:name w:val="annotation text"/>
    <w:basedOn w:val="1"/>
    <w:link w:val="25"/>
    <w:semiHidden/>
    <w:unhideWhenUsed/>
    <w:qFormat/>
    <w:uiPriority w:val="99"/>
  </w:style>
  <w:style w:type="paragraph" w:styleId="10">
    <w:name w:val="Body Text"/>
    <w:basedOn w:val="1"/>
    <w:link w:val="23"/>
    <w:qFormat/>
    <w:uiPriority w:val="1"/>
    <w:pPr>
      <w:ind w:left="600"/>
    </w:pPr>
    <w:rPr>
      <w:rFonts w:ascii="宋体" w:hAnsi="宋体" w:eastAsia="宋体"/>
      <w:sz w:val="24"/>
      <w:szCs w:val="24"/>
    </w:rPr>
  </w:style>
  <w:style w:type="paragraph" w:styleId="11">
    <w:name w:val="Body Text Indent"/>
    <w:basedOn w:val="1"/>
    <w:next w:val="12"/>
    <w:unhideWhenUsed/>
    <w:qFormat/>
    <w:uiPriority w:val="99"/>
    <w:pPr>
      <w:spacing w:line="360" w:lineRule="auto"/>
      <w:ind w:firstLine="640" w:firstLineChars="200"/>
    </w:pPr>
    <w:rPr>
      <w:rFonts w:ascii="仿宋_GB2312" w:hAnsi="宋体" w:eastAsia="仿宋_GB2312"/>
      <w:snapToGrid w:val="0"/>
      <w:kern w:val="0"/>
      <w:sz w:val="32"/>
    </w:rPr>
  </w:style>
  <w:style w:type="paragraph" w:styleId="12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3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paragraph" w:styleId="15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paragraph" w:styleId="16">
    <w:name w:val="Title"/>
    <w:basedOn w:val="5"/>
    <w:next w:val="1"/>
    <w:link w:val="27"/>
    <w:qFormat/>
    <w:uiPriority w:val="0"/>
    <w:pPr>
      <w:spacing w:line="560" w:lineRule="exact"/>
      <w:ind w:left="0"/>
      <w:jc w:val="center"/>
    </w:pPr>
    <w:rPr>
      <w:rFonts w:ascii="方正小标宋简体" w:hAnsi="方正小标宋简体" w:eastAsia="方正小标宋简体" w:cs="方正小标宋简体"/>
      <w:b w:val="0"/>
      <w:bCs w:val="0"/>
      <w:kern w:val="2"/>
      <w:sz w:val="40"/>
      <w:szCs w:val="32"/>
      <w:lang w:eastAsia="zh-CN"/>
    </w:rPr>
  </w:style>
  <w:style w:type="character" w:styleId="19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0">
    <w:name w:val="页眉 字符"/>
    <w:basedOn w:val="18"/>
    <w:link w:val="15"/>
    <w:qFormat/>
    <w:uiPriority w:val="99"/>
    <w:rPr>
      <w:sz w:val="18"/>
      <w:szCs w:val="18"/>
    </w:rPr>
  </w:style>
  <w:style w:type="character" w:customStyle="1" w:styleId="21">
    <w:name w:val="页脚 字符"/>
    <w:basedOn w:val="18"/>
    <w:link w:val="14"/>
    <w:qFormat/>
    <w:uiPriority w:val="99"/>
    <w:rPr>
      <w:sz w:val="18"/>
      <w:szCs w:val="18"/>
    </w:rPr>
  </w:style>
  <w:style w:type="character" w:customStyle="1" w:styleId="22">
    <w:name w:val="标题 1 字符"/>
    <w:basedOn w:val="18"/>
    <w:link w:val="5"/>
    <w:qFormat/>
    <w:uiPriority w:val="1"/>
    <w:rPr>
      <w:rFonts w:ascii="宋体" w:hAnsi="宋体" w:eastAsia="宋体"/>
      <w:b/>
      <w:bCs/>
      <w:kern w:val="0"/>
      <w:sz w:val="26"/>
      <w:szCs w:val="26"/>
      <w:lang w:eastAsia="en-US"/>
    </w:rPr>
  </w:style>
  <w:style w:type="character" w:customStyle="1" w:styleId="23">
    <w:name w:val="正文文本 字符"/>
    <w:basedOn w:val="18"/>
    <w:link w:val="10"/>
    <w:qFormat/>
    <w:uiPriority w:val="1"/>
    <w:rPr>
      <w:rFonts w:ascii="宋体" w:hAnsi="宋体" w:eastAsia="宋体"/>
      <w:kern w:val="0"/>
      <w:sz w:val="24"/>
      <w:szCs w:val="24"/>
      <w:lang w:eastAsia="en-US"/>
    </w:rPr>
  </w:style>
  <w:style w:type="character" w:customStyle="1" w:styleId="24">
    <w:name w:val="批注框文本 字符"/>
    <w:basedOn w:val="18"/>
    <w:link w:val="13"/>
    <w:semiHidden/>
    <w:qFormat/>
    <w:uiPriority w:val="99"/>
    <w:rPr>
      <w:kern w:val="0"/>
      <w:sz w:val="18"/>
      <w:szCs w:val="18"/>
      <w:lang w:eastAsia="en-US"/>
    </w:rPr>
  </w:style>
  <w:style w:type="character" w:customStyle="1" w:styleId="25">
    <w:name w:val="批注文字 字符"/>
    <w:basedOn w:val="18"/>
    <w:link w:val="9"/>
    <w:semiHidden/>
    <w:qFormat/>
    <w:uiPriority w:val="99"/>
    <w:rPr>
      <w:kern w:val="0"/>
      <w:sz w:val="22"/>
      <w:lang w:eastAsia="en-US"/>
    </w:rPr>
  </w:style>
  <w:style w:type="paragraph" w:customStyle="1" w:styleId="26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27">
    <w:name w:val="标题 字符"/>
    <w:basedOn w:val="18"/>
    <w:link w:val="16"/>
    <w:qFormat/>
    <w:uiPriority w:val="0"/>
    <w:rPr>
      <w:rFonts w:ascii="方正小标宋简体" w:hAnsi="方正小标宋简体" w:eastAsia="方正小标宋简体" w:cs="方正小标宋简体"/>
      <w:sz w:val="40"/>
      <w:szCs w:val="32"/>
    </w:rPr>
  </w:style>
  <w:style w:type="character" w:customStyle="1" w:styleId="28">
    <w:name w:val="附注二级正文 Char"/>
    <w:link w:val="29"/>
    <w:qFormat/>
    <w:locked/>
    <w:uiPriority w:val="0"/>
    <w:rPr>
      <w:rFonts w:ascii="宋体" w:hAnsi="宋体" w:eastAsia="宋体" w:cs="Times New Roman"/>
      <w:szCs w:val="24"/>
    </w:rPr>
  </w:style>
  <w:style w:type="paragraph" w:customStyle="1" w:styleId="29">
    <w:name w:val="附注二级正文"/>
    <w:basedOn w:val="1"/>
    <w:link w:val="28"/>
    <w:qFormat/>
    <w:uiPriority w:val="0"/>
    <w:pPr>
      <w:adjustRightInd w:val="0"/>
      <w:snapToGrid w:val="0"/>
      <w:spacing w:line="400" w:lineRule="atLeast"/>
      <w:ind w:left="718" w:leftChars="342"/>
      <w:jc w:val="both"/>
    </w:pPr>
    <w:rPr>
      <w:rFonts w:ascii="宋体" w:hAnsi="宋体" w:eastAsia="宋体" w:cs="Times New Roman"/>
      <w:kern w:val="2"/>
      <w:sz w:val="21"/>
      <w:szCs w:val="24"/>
      <w:lang w:eastAsia="zh-CN"/>
    </w:rPr>
  </w:style>
  <w:style w:type="character" w:customStyle="1" w:styleId="30">
    <w:name w:val="附注一级 Char"/>
    <w:link w:val="31"/>
    <w:qFormat/>
    <w:locked/>
    <w:uiPriority w:val="0"/>
    <w:rPr>
      <w:rFonts w:ascii="宋体" w:hAnsi="宋体" w:eastAsia="宋体" w:cs="Times New Roman"/>
      <w:b/>
      <w:szCs w:val="21"/>
      <w:lang w:val="zh-CN"/>
    </w:rPr>
  </w:style>
  <w:style w:type="paragraph" w:customStyle="1" w:styleId="31">
    <w:name w:val="附注一级"/>
    <w:basedOn w:val="1"/>
    <w:link w:val="30"/>
    <w:qFormat/>
    <w:uiPriority w:val="0"/>
    <w:pPr>
      <w:tabs>
        <w:tab w:val="left" w:pos="714"/>
      </w:tabs>
      <w:adjustRightInd w:val="0"/>
      <w:snapToGrid w:val="0"/>
      <w:spacing w:line="400" w:lineRule="atLeast"/>
      <w:jc w:val="both"/>
      <w:outlineLvl w:val="0"/>
    </w:pPr>
    <w:rPr>
      <w:rFonts w:ascii="宋体" w:hAnsi="宋体" w:eastAsia="宋体" w:cs="Times New Roman"/>
      <w:b/>
      <w:kern w:val="2"/>
      <w:sz w:val="21"/>
      <w:szCs w:val="21"/>
      <w:lang w:val="zh-CN" w:eastAsia="zh-CN"/>
    </w:rPr>
  </w:style>
  <w:style w:type="paragraph" w:customStyle="1" w:styleId="32">
    <w:name w:val="修订2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33">
    <w:name w:val="font21"/>
    <w:basedOn w:val="1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34">
    <w:name w:val="font31"/>
    <w:basedOn w:val="1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5">
    <w:name w:val="font41"/>
    <w:basedOn w:val="18"/>
    <w:qFormat/>
    <w:uiPriority w:val="0"/>
    <w:rPr>
      <w:rFonts w:hint="default" w:ascii="Arial" w:hAnsi="Arial" w:cs="Arial"/>
      <w:color w:val="FF0000"/>
      <w:sz w:val="20"/>
      <w:szCs w:val="20"/>
      <w:u w:val="none"/>
    </w:rPr>
  </w:style>
  <w:style w:type="character" w:customStyle="1" w:styleId="36">
    <w:name w:val="font61"/>
    <w:basedOn w:val="18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37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589</Words>
  <Characters>3359</Characters>
  <Lines>27</Lines>
  <Paragraphs>7</Paragraphs>
  <TotalTime>1</TotalTime>
  <ScaleCrop>false</ScaleCrop>
  <LinksUpToDate>false</LinksUpToDate>
  <CharactersWithSpaces>3941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2016-12-24T16:02:00Z</dcterms:created>
  <dc:creator>朱正忠</dc:creator>
  <cp:lastModifiedBy>叶建兵</cp:lastModifiedBy>
  <dcterms:modified xsi:type="dcterms:W3CDTF">2026-09-23T09:15:40Z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0A7A569386964F078F9D5857B86EF469</vt:lpwstr>
  </property>
</Properties>
</file>